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745A8F82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EA72C5" w:rsidRPr="00EA72C5">
        <w:rPr>
          <w:rFonts w:asciiTheme="minorHAnsi" w:hAnsiTheme="minorHAnsi" w:cstheme="minorHAnsi"/>
          <w:b/>
          <w:bCs/>
          <w:color w:val="auto"/>
          <w:sz w:val="22"/>
          <w:szCs w:val="22"/>
        </w:rPr>
        <w:t>10011295</w:t>
      </w:r>
    </w:p>
    <w:p w14:paraId="46B6C143" w14:textId="61164B19" w:rsidR="00E24389" w:rsidRDefault="000A63F2" w:rsidP="00E24389">
      <w:pPr>
        <w:spacing w:line="276" w:lineRule="auto"/>
        <w:ind w:right="76"/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3852C9" w:rsidRPr="003852C9">
        <w:rPr>
          <w:rFonts w:cstheme="minorHAnsi"/>
          <w:b/>
          <w:bCs/>
        </w:rPr>
        <w:t>Consultancy service for stakeholder engagement in trade in circular economy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0B788D"/>
    <w:rsid w:val="00136A9D"/>
    <w:rsid w:val="0014793C"/>
    <w:rsid w:val="001575AC"/>
    <w:rsid w:val="001B75F7"/>
    <w:rsid w:val="001C0E58"/>
    <w:rsid w:val="001D629B"/>
    <w:rsid w:val="001D7C0D"/>
    <w:rsid w:val="001E4F46"/>
    <w:rsid w:val="002173D2"/>
    <w:rsid w:val="002211EE"/>
    <w:rsid w:val="00277D05"/>
    <w:rsid w:val="00287D3B"/>
    <w:rsid w:val="002B6C10"/>
    <w:rsid w:val="002F6181"/>
    <w:rsid w:val="003824C2"/>
    <w:rsid w:val="003852C9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41A48"/>
    <w:rsid w:val="00644700"/>
    <w:rsid w:val="007140BC"/>
    <w:rsid w:val="00714482"/>
    <w:rsid w:val="00742D47"/>
    <w:rsid w:val="007F436C"/>
    <w:rsid w:val="00815E09"/>
    <w:rsid w:val="00817D2B"/>
    <w:rsid w:val="008301EC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85914"/>
    <w:rsid w:val="00EA72C5"/>
    <w:rsid w:val="00EC2CE0"/>
    <w:rsid w:val="00F01D70"/>
    <w:rsid w:val="00F0557A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27</cp:revision>
  <cp:lastPrinted>2019-04-29T17:45:00Z</cp:lastPrinted>
  <dcterms:created xsi:type="dcterms:W3CDTF">2024-04-02T16:43:00Z</dcterms:created>
  <dcterms:modified xsi:type="dcterms:W3CDTF">2026-03-16T04:00:00Z</dcterms:modified>
</cp:coreProperties>
</file>